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Order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Schedule 19 may be included to adapt the Core Terms and Schedules so that the Order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 Form of Guarantee WHEREAS (B) “deed” replaced by “contract”</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(Rights of Third Parties) Act 1999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amended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(Third Party Rights) (Scotland) Act 2017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16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Order Schedules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any amendments to the Order schedules where Scottish Law applies]</w:t>
      </w:r>
    </w:p>
    <w:p w:rsidR="00000000" w:rsidDel="00000000" w:rsidP="00000000" w:rsidRDefault="00000000" w:rsidRPr="00000000" w14:paraId="0000002C">
      <w:pPr>
        <w:rPr>
          <w:smallCaps w:val="1"/>
        </w:rPr>
      </w:pP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Order Contract it shall have the effect of substituting the equivalent legislation applicable in Scotland.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r>
  </w:p>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leader="none" w:pos="4513"/>
        <w:tab w:val="right" w:leader="none" w:pos="9026"/>
      </w:tabs>
      <w:spacing w:after="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19 (Scottish Law)</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EAN4sFcB6PKmyozwWhDGP4Fzqw==">CgMxLjAyCGguZ2pkZ3hzOAByITFfSmdYZ0RubEJac05aZ21vd2h0RG04VUhPUUVqNUxPZg==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2020-11-20T14:13:00Z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